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Inconsistent guidance complicates Thailand’s 90-day reporting in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t>Thailand’s 90-day reporting rule has not gone away in 2026, but the public guidance around it still does not line up neatly. The Immigration Bureau’s national instructions say foreigners on temporary permission who remain in the country for more than 90 days must notify their address every 90 days, and that the filing window runs from 15 days before the due date to 7 days after it. (</w:t>
      </w:r>
      <w:hyperlink r:id="rId9">
        <w:r>
          <w:rPr>
            <w:color w:val="0000EE"/>
            <w:u w:val="single"/>
          </w:rPr>
          <w:t>test.immigration.go.th</w:t>
        </w:r>
      </w:hyperlink>
      <w:r>
        <w:t>) Yet the Royal Thai Consulate-General in Los Angeles still describes a narrower window of only 7 days before or after the 90-day point, while a Thailand.go.th explainer last updated on 4 July 2023 still tells applicants to bring a paper TM.6 card. (</w:t>
      </w:r>
      <w:hyperlink r:id="rId10">
        <w:r>
          <w:rPr>
            <w:color w:val="0000EE"/>
            <w:u w:val="single"/>
          </w:rPr>
          <w:t>thaiconsulatela.thaiembassy.org</w:t>
        </w:r>
      </w:hyperlink>
      <w:r>
        <w:t>)</w:t>
      </w:r>
      <w:r/>
    </w:p>
    <w:p>
      <w:r/>
      <w:r>
        <w:t>That inconsistency matters because TM.47 is a compliance exercise, not a way to prolong your stay. The official TM.47 form itself states: "THIS IS NOT AN EXTENSION OF STAY." (</w:t>
      </w:r>
      <w:hyperlink r:id="rId11">
        <w:r>
          <w:rPr>
            <w:color w:val="0000EE"/>
            <w:u w:val="single"/>
          </w:rPr>
          <w:t>bangkok.immigration.go.th</w:t>
        </w:r>
      </w:hyperlink>
      <w:r>
        <w:t>) A Board of Investment briefing places 90-day reporting alongside separate obligations such as work permits, visa extensions and re-entry permits, underlining that each process has its own fee and timeline. The same BOI material also distinguishes TM.47 from TM.30, the residence notification filed by an owner or hotel manager, and says a TM.30 failure can bring a 2,000-Baht fine for the property side of the transaction. (</w:t>
      </w:r>
      <w:hyperlink r:id="rId12">
        <w:r>
          <w:rPr>
            <w:color w:val="0000EE"/>
            <w:u w:val="single"/>
          </w:rPr>
          <w:t>boi.go.th</w:t>
        </w:r>
      </w:hyperlink>
      <w:r>
        <w:t>)</w:t>
      </w:r>
      <w:r/>
    </w:p>
    <w:p>
      <w:r/>
      <w:r>
        <w:t>In practice, the rule is aimed at foreigners on long-stay temporary permission who remain in Thailand continuously. Foreigner-facing guides reviewed in 2026 say the clock usually runs from the latest entry date or from the previous TM.47 receipt, not from the expiry date of a visa sticker or extension stamp. (</w:t>
      </w:r>
      <w:hyperlink r:id="rId13">
        <w:r>
          <w:rPr>
            <w:color w:val="0000EE"/>
            <w:u w:val="single"/>
          </w:rPr>
          <w:t>foreignersthailand.com</w:t>
        </w:r>
      </w:hyperlink>
      <w:r>
        <w:t>) An Immigration Bureau public handbook says that if someone leaves Thailand before the next reporting date and later comes back, the fresh 90-day count starts from the latest arrival date. (</w:t>
      </w:r>
      <w:hyperlink r:id="rId14">
        <w:r>
          <w:rPr>
            <w:color w:val="0000EE"/>
            <w:u w:val="single"/>
          </w:rPr>
          <w:t>tak.immigration.go.th</w:t>
        </w:r>
      </w:hyperlink>
      <w:r>
        <w:t>)</w:t>
      </w:r>
      <w:r/>
    </w:p>
    <w:p>
      <w:r/>
      <w:r>
        <w:t>The safest reading of the deadline is the broader one: file early and do not test the outer edge. The Immigration Bureau’s own page says the report can be made 15 days before the due date and up to 7 days after, and ThaiLawOnline’s September 2026 guide illustrates that with a worked example: a person entering on 3 March 2026 would hit day 90 on 1 June, with the window opening on 17 May and closing on 8 June. (</w:t>
      </w:r>
      <w:hyperlink r:id="rId9">
        <w:r>
          <w:rPr>
            <w:color w:val="0000EE"/>
            <w:u w:val="single"/>
          </w:rPr>
          <w:t>test.immigration.go.th</w:t>
        </w:r>
      </w:hyperlink>
      <w:r>
        <w:t>) Because the embassy guidance still uses the older seven-day wording, relying on memory or hearsay is risky; the date written on the last receipt is the one that counts. (</w:t>
      </w:r>
      <w:hyperlink r:id="rId10">
        <w:r>
          <w:rPr>
            <w:color w:val="0000EE"/>
            <w:u w:val="single"/>
          </w:rPr>
          <w:t>thaiconsulatela.thaiembassy.org</w:t>
        </w:r>
      </w:hyperlink>
      <w:r>
        <w:t>)</w:t>
      </w:r>
      <w:r/>
    </w:p>
    <w:p>
      <w:r/>
      <w:r>
        <w:t>As for how to file, the official options remain in person, through an authorised representative, by registered post or online. (</w:t>
      </w:r>
      <w:hyperlink r:id="rId9">
        <w:r>
          <w:rPr>
            <w:color w:val="0000EE"/>
            <w:u w:val="single"/>
          </w:rPr>
          <w:t>test.immigration.go.th</w:t>
        </w:r>
      </w:hyperlink>
      <w:r>
        <w:t>) The Thailand.go.th page says Bangkok residents can report at Building B on Chaeng Wattana Road, south side, second floor, and lists the core paperwork as a passport, previous 90-day receipt if there is one, and a completed, signed TM.47 form. (</w:t>
      </w:r>
      <w:hyperlink r:id="rId15">
        <w:r>
          <w:rPr>
            <w:color w:val="0000EE"/>
            <w:u w:val="single"/>
          </w:rPr>
          <w:t>thailand.go.th</w:t>
        </w:r>
      </w:hyperlink>
      <w:r>
        <w:t>) More recent practical guides add that some offices also ask for proof of address, such as a lease, house registration extract or TM.30 record, and that postal filings should include a stamped self-addressed return envelope. (</w:t>
      </w:r>
      <w:hyperlink r:id="rId13">
        <w:r>
          <w:rPr>
            <w:color w:val="0000EE"/>
            <w:u w:val="single"/>
          </w:rPr>
          <w:t>foreignersthailand.com</w:t>
        </w:r>
      </w:hyperlink>
      <w:r>
        <w:t>) The paperwork trail is also in transition: older official pages still mention TM.6, but the current Thailand Digital Arrival Card system says a new TDAC must be completed for each entry to Thailand, reflecting the move away from the old paper arrival card. (</w:t>
      </w:r>
      <w:hyperlink r:id="rId15">
        <w:r>
          <w:rPr>
            <w:color w:val="0000EE"/>
            <w:u w:val="single"/>
          </w:rPr>
          <w:t>thailand.go.th</w:t>
        </w:r>
      </w:hyperlink>
      <w:r>
        <w:t>)</w:t>
      </w:r>
      <w:r/>
    </w:p>
    <w:p>
      <w:r/>
      <w:r>
        <w:t>Online filing is supposed to be the easy option, but it is only easy when the approval actually comes through. Immigration’s instructions say users must register an email address, submit the TM.47 application in English and then wait for the result by email within three working days; until then the file sits in pending approval status. (</w:t>
      </w:r>
      <w:hyperlink r:id="rId9">
        <w:r>
          <w:rPr>
            <w:color w:val="0000EE"/>
            <w:u w:val="single"/>
          </w:rPr>
          <w:t>test.immigration.go.th</w:t>
        </w:r>
      </w:hyperlink>
      <w:r>
        <w:t>) Practical 2026 guides say many offices still prefer the first report in person and are more willing to accept later reports online once a file already exists in the system. They also warn that provincial practice varies, especially where an address record does not match the TM.30 on file. (</w:t>
      </w:r>
      <w:hyperlink r:id="rId13">
        <w:r>
          <w:rPr>
            <w:color w:val="0000EE"/>
            <w:u w:val="single"/>
          </w:rPr>
          <w:t>foreignersthailand.com</w:t>
        </w:r>
      </w:hyperlink>
      <w:r>
        <w:t>)</w:t>
      </w:r>
      <w:r/>
    </w:p>
    <w:p>
      <w:r/>
      <w:r>
        <w:t>There is one shortcut, though it is narrower than many foreigners assume. Both the Immigration Bureau’s published guidance and the Los Angeles consulate page say: "The first application for extension of stay by the foreigner is equivalent to the notification of staying in the Kingdom over 90 days." (</w:t>
      </w:r>
      <w:hyperlink r:id="rId9">
        <w:r>
          <w:rPr>
            <w:color w:val="0000EE"/>
            <w:u w:val="single"/>
          </w:rPr>
          <w:t>test.immigration.go.th</w:t>
        </w:r>
      </w:hyperlink>
      <w:r>
        <w:t>) That wording refers to the first extension application, not every later renewal. After that, the reporting cycle continues in its own right. Leaving Thailand and returning restarts the 90-day count, but BOI material on re-entry permits is a reminder that travel permission and address reporting are separate questions entirely: a single re-entry permit is listed at 1,000 Baht and a multiple re-entry permit at 3,800 Baht. (</w:t>
      </w:r>
      <w:hyperlink r:id="rId14">
        <w:r>
          <w:rPr>
            <w:color w:val="0000EE"/>
            <w:u w:val="single"/>
          </w:rPr>
          <w:t>tak.immigration.go.th</w:t>
        </w:r>
      </w:hyperlink>
      <w:r>
        <w:t>)</w:t>
      </w:r>
      <w:r/>
    </w:p>
    <w:p>
      <w:r/>
      <w:r>
        <w:t>The penalties are one reason not to leave this until the last minute. BOI material and several 2026 guides put the normal late-report fine at 2,000 Baht when the foreigner turns up voluntarily after the window has passed. (</w:t>
      </w:r>
      <w:hyperlink r:id="rId12">
        <w:r>
          <w:rPr>
            <w:color w:val="0000EE"/>
            <w:u w:val="single"/>
          </w:rPr>
          <w:t>boi.go.th</w:t>
        </w:r>
      </w:hyperlink>
      <w:r>
        <w:t>) The consulate’s wording is tougher for people caught first, saying the fine "must be at least 4,000 Baht" and may be topped up by as much as 200 Baht per day until the law is complied with. (</w:t>
      </w:r>
      <w:hyperlink r:id="rId10">
        <w:r>
          <w:rPr>
            <w:color w:val="0000EE"/>
            <w:u w:val="single"/>
          </w:rPr>
          <w:t>thaiconsulatela.thaiembassy.org</w:t>
        </w:r>
      </w:hyperlink>
      <w:r>
        <w:t>) The legal ceiling is higher again: the TM.47 form warns that overdue notification can be fined at not more than 5,000 Baht, and ThaiLawOnline likewise says section 76 allows a fine not exceeding 5,000 Baht plus up to 200 Baht a day. (</w:t>
      </w:r>
      <w:hyperlink r:id="rId11">
        <w:r>
          <w:rPr>
            <w:color w:val="0000EE"/>
            <w:u w:val="single"/>
          </w:rPr>
          <w:t>bangkok.immigration.go.th</w:t>
        </w:r>
      </w:hyperlink>
      <w:r>
        <w:t>) The practical lesson is straightforward: submit early, keep every receipt, and never confuse an address report with the permission stamp that governs how long you may actually stay. (</w:t>
      </w:r>
      <w:hyperlink r:id="rId12">
        <w:r>
          <w:rPr>
            <w:color w:val="0000EE"/>
            <w:u w:val="single"/>
          </w:rPr>
          <w:t>boi.go.th</w:t>
        </w:r>
      </w:hyperlink>
      <w:r>
        <w:t>)</w:t>
      </w:r>
      <w:r/>
    </w:p>
    <w:p>
      <w:pPr>
        <w:pStyle w:val="Heading3"/>
      </w:pPr>
      <w:r>
        <w:t>Source Reference Map</w:t>
      </w:r>
      <w:r/>
    </w:p>
    <w:p>
      <w:r/>
      <w:r>
        <w:rPr>
          <w:b/>
        </w:rPr>
        <w:t>Inspired by headline at:</w:t>
      </w:r>
      <w:r>
        <w:t xml:space="preserve"> </w:t>
      </w:r>
      <w:hyperlink r:id="rId16">
        <w:r>
          <w:rPr>
            <w:color w:val="0000EE"/>
            <w:u w:val="single"/>
          </w:rPr>
          <w:t>[1]</w:t>
        </w:r>
      </w:hyperlink>
      <w:r/>
    </w:p>
    <w:p>
      <w:r/>
      <w:r>
        <w:rPr>
          <w:b/>
        </w:rPr>
        <w:t>Sources by paragraph:</w:t>
      </w:r>
      <w:r>
        <w:t xml:space="preserve">- Paragraph 1: </w:t>
      </w:r>
      <w:hyperlink r:id="rId17">
        <w:r>
          <w:rPr>
            <w:color w:val="0000EE"/>
            <w:u w:val="single"/>
          </w:rPr>
          <w:t>[2]</w:t>
        </w:r>
      </w:hyperlink>
      <w:r>
        <w:t xml:space="preserve">, </w:t>
      </w:r>
      <w:hyperlink r:id="rId18">
        <w:r>
          <w:rPr>
            <w:color w:val="0000EE"/>
            <w:u w:val="single"/>
          </w:rPr>
          <w:t>[3]</w:t>
        </w:r>
      </w:hyperlink>
      <w:r>
        <w:t xml:space="preserve">, </w:t>
      </w:r>
      <w:hyperlink r:id="rId19">
        <w:r>
          <w:rPr>
            <w:color w:val="0000EE"/>
            <w:u w:val="single"/>
          </w:rPr>
          <w:t>[6]</w:t>
        </w:r>
      </w:hyperlink>
      <w:r>
        <w:t xml:space="preserve">- Paragraph 2: </w:t>
      </w:r>
      <w:hyperlink r:id="rId12">
        <w:r>
          <w:rPr>
            <w:color w:val="0000EE"/>
            <w:u w:val="single"/>
          </w:rPr>
          <w:t>[4]</w:t>
        </w:r>
      </w:hyperlink>
      <w:r>
        <w:t xml:space="preserve">, </w:t>
      </w:r>
      <w:hyperlink r:id="rId20">
        <w:r>
          <w:rPr>
            <w:color w:val="0000EE"/>
            <w:u w:val="single"/>
          </w:rPr>
          <w:t>[7]</w:t>
        </w:r>
      </w:hyperlink>
      <w:r>
        <w:t xml:space="preserve">- Paragraph 3: </w:t>
      </w:r>
      <w:hyperlink r:id="rId21">
        <w:r>
          <w:rPr>
            <w:color w:val="0000EE"/>
            <w:u w:val="single"/>
          </w:rPr>
          <w:t>[5]</w:t>
        </w:r>
      </w:hyperlink>
      <w:r>
        <w:t xml:space="preserve">, </w:t>
      </w:r>
      <w:hyperlink r:id="rId19">
        <w:r>
          <w:rPr>
            <w:color w:val="0000EE"/>
            <w:u w:val="single"/>
          </w:rPr>
          <w:t>[6]</w:t>
        </w:r>
      </w:hyperlink>
      <w:r>
        <w:t xml:space="preserve">- Paragraph 4: </w:t>
      </w:r>
      <w:hyperlink r:id="rId18">
        <w:r>
          <w:rPr>
            <w:color w:val="0000EE"/>
            <w:u w:val="single"/>
          </w:rPr>
          <w:t>[3]</w:t>
        </w:r>
      </w:hyperlink>
      <w:r>
        <w:t xml:space="preserve">, </w:t>
      </w:r>
      <w:hyperlink r:id="rId19">
        <w:r>
          <w:rPr>
            <w:color w:val="0000EE"/>
            <w:u w:val="single"/>
          </w:rPr>
          <w:t>[6]</w:t>
        </w:r>
      </w:hyperlink>
      <w:r>
        <w:t xml:space="preserve">- Paragraph 5: </w:t>
      </w:r>
      <w:hyperlink r:id="rId17">
        <w:r>
          <w:rPr>
            <w:color w:val="0000EE"/>
            <w:u w:val="single"/>
          </w:rPr>
          <w:t>[2]</w:t>
        </w:r>
      </w:hyperlink>
      <w:r>
        <w:t xml:space="preserve">, </w:t>
      </w:r>
      <w:hyperlink r:id="rId21">
        <w:r>
          <w:rPr>
            <w:color w:val="0000EE"/>
            <w:u w:val="single"/>
          </w:rPr>
          <w:t>[5]</w:t>
        </w:r>
      </w:hyperlink>
      <w:r>
        <w:t xml:space="preserve">, </w:t>
      </w:r>
      <w:hyperlink r:id="rId20">
        <w:r>
          <w:rPr>
            <w:color w:val="0000EE"/>
            <w:u w:val="single"/>
          </w:rPr>
          <w:t>[7]</w:t>
        </w:r>
      </w:hyperlink>
      <w:r>
        <w:t xml:space="preserve">- Paragraph 6: </w:t>
      </w:r>
      <w:hyperlink r:id="rId21">
        <w:r>
          <w:rPr>
            <w:color w:val="0000EE"/>
            <w:u w:val="single"/>
          </w:rPr>
          <w:t>[5]</w:t>
        </w:r>
      </w:hyperlink>
      <w:r>
        <w:t xml:space="preserve">, </w:t>
      </w:r>
      <w:hyperlink r:id="rId19">
        <w:r>
          <w:rPr>
            <w:color w:val="0000EE"/>
            <w:u w:val="single"/>
          </w:rPr>
          <w:t>[6]</w:t>
        </w:r>
      </w:hyperlink>
      <w:r>
        <w:t xml:space="preserve">, </w:t>
      </w:r>
      <w:hyperlink r:id="rId20">
        <w:r>
          <w:rPr>
            <w:color w:val="0000EE"/>
            <w:u w:val="single"/>
          </w:rPr>
          <w:t>[7]</w:t>
        </w:r>
      </w:hyperlink>
      <w:r>
        <w:t xml:space="preserve">- Paragraph 7: </w:t>
      </w:r>
      <w:hyperlink r:id="rId18">
        <w:r>
          <w:rPr>
            <w:color w:val="0000EE"/>
            <w:u w:val="single"/>
          </w:rPr>
          <w:t>[3]</w:t>
        </w:r>
      </w:hyperlink>
      <w:r>
        <w:t xml:space="preserve">, </w:t>
      </w:r>
      <w:hyperlink r:id="rId12">
        <w:r>
          <w:rPr>
            <w:color w:val="0000EE"/>
            <w:u w:val="single"/>
          </w:rPr>
          <w:t>[4]</w:t>
        </w:r>
      </w:hyperlink>
      <w:r>
        <w:t xml:space="preserve">, </w:t>
      </w:r>
      <w:hyperlink r:id="rId19">
        <w:r>
          <w:rPr>
            <w:color w:val="0000EE"/>
            <w:u w:val="single"/>
          </w:rPr>
          <w:t>[6]</w:t>
        </w:r>
      </w:hyperlink>
      <w:r>
        <w:t xml:space="preserve">- Paragraph 8: </w:t>
      </w:r>
      <w:hyperlink r:id="rId18">
        <w:r>
          <w:rPr>
            <w:color w:val="0000EE"/>
            <w:u w:val="single"/>
          </w:rPr>
          <w:t>[3]</w:t>
        </w:r>
      </w:hyperlink>
      <w:r>
        <w:t xml:space="preserve">, </w:t>
      </w:r>
      <w:hyperlink r:id="rId12">
        <w:r>
          <w:rPr>
            <w:color w:val="0000EE"/>
            <w:u w:val="single"/>
          </w:rPr>
          <w:t>[4]</w:t>
        </w:r>
      </w:hyperlink>
      <w:r>
        <w:t xml:space="preserve">, </w:t>
      </w:r>
      <w:hyperlink r:id="rId19">
        <w:r>
          <w:rPr>
            <w:color w:val="0000EE"/>
            <w:u w:val="single"/>
          </w:rPr>
          <w:t>[6]</w:t>
        </w:r>
      </w:hyperlink>
      <w:r>
        <w:t xml:space="preserve">, </w:t>
      </w:r>
      <w:hyperlink r:id="rId22">
        <w:r>
          <w:rPr>
            <w:color w:val="0000EE"/>
            <w:u w:val="single"/>
          </w:rPr>
          <w:t>[7]</w:t>
        </w:r>
      </w:hyperlink>
      <w:r/>
    </w:p>
    <w:p>
      <w:r/>
      <w:r>
        <w:t xml:space="preserve">Source: </w:t>
      </w:r>
      <w:hyperlink r:id="rId23">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https://thethaiger.com/guides/visa-information/thailand-90-day-reporting</w:t>
        </w:r>
      </w:hyperlink>
      <w:r>
        <w:t xml:space="preserve"> - Please view link - unable to able to access data</w:t>
      </w:r>
      <w:r/>
    </w:p>
    <w:p>
      <w:pPr>
        <w:pStyle w:val="ListNumber"/>
        <w:spacing w:line="240" w:lineRule="auto"/>
        <w:ind w:left="720"/>
      </w:pPr>
      <w:r/>
      <w:hyperlink r:id="rId17">
        <w:r>
          <w:rPr>
            <w:color w:val="0000EE"/>
            <w:u w:val="single"/>
          </w:rPr>
          <w:t>https://www.thailand.go.th/issue-focus-detail/001-01-018?hl=cn</w:t>
        </w:r>
      </w:hyperlink>
      <w:r>
        <w:t xml:space="preserve"> - Official Thailand portal piece explaining the 90-day reporting duty for foreigners who stay in the country for more than 90 days. It says the report can be made in person, by an authorised person, by registered post, or online, and it lists the core documents needed for an in-person filing, including passport, TM.6 arrival/departure card, prior 90-day receipt if any, and signed TM.47 form. It also gives the Bangkok filing location at the government complex on Chaengwattana Road. The page is useful as a baseline official explainer, though it is dated and still reflects older paperwork references.</w:t>
      </w:r>
      <w:r/>
    </w:p>
    <w:p>
      <w:pPr>
        <w:pStyle w:val="ListNumber"/>
        <w:spacing w:line="240" w:lineRule="auto"/>
        <w:ind w:left="720"/>
      </w:pPr>
      <w:r/>
      <w:hyperlink r:id="rId18">
        <w:r>
          <w:rPr>
            <w:color w:val="0000EE"/>
            <w:u w:val="single"/>
          </w:rPr>
          <w:t>https://thaiconsulatela.thaiembassy.org/en/publicservice/foreigners-staying-in-thailand-more-than-90-days?cate=61946819dd15fb11740c1f62</w:t>
        </w:r>
      </w:hyperlink>
      <w:r>
        <w:t xml:space="preserve"> - Thai Embassy Los Angeles guidance on staying in Thailand more than 90 days. It explains the legal obligation, the filing window, and the main penalties, and it makes clear that 90-day reporting is not a visa extension. It also lists filing methods and required documents, including the TM.47 form and TM.6 arrival/departure card. The embassy page is valuable because it gives a more punitive penalty range than some newer guides and states that the first extension of stay application counts as the first notification in some cases. It is a strong official counterpoint to newer online explainers.</w:t>
      </w:r>
      <w:r/>
    </w:p>
    <w:p>
      <w:pPr>
        <w:pStyle w:val="ListNumber"/>
        <w:spacing w:line="240" w:lineRule="auto"/>
        <w:ind w:left="720"/>
      </w:pPr>
      <w:r/>
      <w:hyperlink r:id="rId12">
        <w:r>
          <w:rPr>
            <w:color w:val="0000EE"/>
            <w:u w:val="single"/>
          </w:rPr>
          <w:t>https://www.boi.go.th/upload/content/4_Thailand%20Immigration%20Regulations.pdf</w:t>
        </w:r>
      </w:hyperlink>
      <w:r>
        <w:t xml:space="preserve"> - A Board of Investment presentation on Thai immigration rules that includes a visual summary of 90-day reporting. It confirms that foreigners staying in Thailand for more than 90 consecutive days must report their current address every 90 days and that the reporting methods include in person, by representative, and by mail or online. The slide also shows the standard 2,000-baht fine and pairs the 90-day rule with other immigration requirements such as work permits, visa extensions, and re-entry permits. Because it is a BOI document, it is useful for foreign investors and employees as a high-level official summary rather than a detailed filing guide.</w:t>
      </w:r>
      <w:r/>
    </w:p>
    <w:p>
      <w:pPr>
        <w:pStyle w:val="ListNumber"/>
        <w:spacing w:line="240" w:lineRule="auto"/>
        <w:ind w:left="720"/>
      </w:pPr>
      <w:r/>
      <w:hyperlink r:id="rId21">
        <w:r>
          <w:rPr>
            <w:color w:val="0000EE"/>
            <w:u w:val="single"/>
          </w:rPr>
          <w:t>https://www.foreignersthailand.com/tasks/90-day-report</w:t>
        </w:r>
      </w:hyperlink>
      <w:r>
        <w:t xml:space="preserve"> - A practical foreigner-focused task guide that says the TM.47 notification simply tells immigration where you live and that it is not a visa extension. It emphasises that the 90-day count runs from entry or the last notification rather than visa expiry, and says many offices accept online filing for later reports after the first in-person filing. It includes a simple fee table, document checklist, and a warning that different provinces may use different channels. The page adds useful operational advice rather than just the legal rule, and it is updated in 2026 against official sources.</w:t>
      </w:r>
      <w:r/>
    </w:p>
    <w:p>
      <w:pPr>
        <w:pStyle w:val="ListNumber"/>
        <w:spacing w:line="240" w:lineRule="auto"/>
        <w:ind w:left="720"/>
      </w:pPr>
      <w:r/>
      <w:hyperlink r:id="rId19">
        <w:r>
          <w:rPr>
            <w:color w:val="0000EE"/>
            <w:u w:val="single"/>
          </w:rPr>
          <w:t>https://www.thailawonline.com/90-day-report-thailand/</w:t>
        </w:r>
      </w:hyperlink>
      <w:r>
        <w:t xml:space="preserve"> - A detailed legal guide to Thailand’s TM.47 requirement that frames 90-day reporting as a statutory obligation under section 37(5) of the Immigration Act. It explains the filing window as 15 days before to 7 days after the due date, sets out the difference between voluntary late reporting and being caught by officers, and says leaving Thailand resets the count. It also discusses who is exempt, including Thai citizens, permanent residents and tourists, and it separates 90-day reporting from overstay. This page adds legal analysis, practical timing examples and a clearer treatment of exemptions than most general guides.</w:t>
      </w:r>
      <w:r/>
    </w:p>
    <w:p>
      <w:pPr>
        <w:pStyle w:val="ListNumber"/>
        <w:spacing w:line="240" w:lineRule="auto"/>
        <w:ind w:left="720"/>
      </w:pPr>
      <w:r/>
      <w:hyperlink r:id="rId20">
        <w:r>
          <w:rPr>
            <w:color w:val="0000EE"/>
            <w:u w:val="single"/>
          </w:rPr>
          <w:t>https://thailandknowledge.com/visa/90-day-reporting-guide</w:t>
        </w:r>
      </w:hyperlink>
      <w:r>
        <w:t xml:space="preserve"> - A 2026 practical guide to Thailand’s 90-day reporting that explains the rule, the fee, and the online filing window in straightforward terms. It says the report is required for anyone on a non-immigrant visa staying more than 90 consecutive days, that it is an address notification rather than a visa renewal, and that the online system is available 15 days before to 7 days after the due date. It also compares TM.47 with TM.30 and warns that the first report may still need to be done in person depending on the office. The page is useful for operational details and current fee figures.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est.immigration.go.th/?page_id=1666" TargetMode="External"/><Relationship Id="rId10" Type="http://schemas.openxmlformats.org/officeDocument/2006/relationships/hyperlink" Target="https://thaiconsulatela.thaiembassy.org/en/publicservice/foreigners-staying-in-thailand-more-than-90-days?cate=61946819dd15fb11740c1f62&amp;utm_source=openai" TargetMode="External"/><Relationship Id="rId11" Type="http://schemas.openxmlformats.org/officeDocument/2006/relationships/hyperlink" Target="https://bangkok.immigration.go.th/wp-content/uploads/Form-TM-47.pdf?utm_source=openai" TargetMode="External"/><Relationship Id="rId12" Type="http://schemas.openxmlformats.org/officeDocument/2006/relationships/hyperlink" Target="https://www.boi.go.th/upload/content/4_Thailand%20Immigration%20Regulations.pdf" TargetMode="External"/><Relationship Id="rId13" Type="http://schemas.openxmlformats.org/officeDocument/2006/relationships/hyperlink" Target="https://www.foreignersthailand.com/tasks/90-day-report?utm_source=openai" TargetMode="External"/><Relationship Id="rId14" Type="http://schemas.openxmlformats.org/officeDocument/2006/relationships/hyperlink" Target="https://tak.immigration.go.th/wp-content/uploads/2024/03/O8-%E0%B8%84%E0%B8%B9%E0%B9%88%E0%B8%A1%E0%B8%B7%E0%B8%AD%E0%B8%81%E0%B8%B2%E0%B8%A3%E0%B9%83%E0%B8%AB%E0%B9%89%E0%B8%9A%E0%B8%A3%E0%B8%B4%E0%B8%81%E0%B8%B2%E0%B8%A3%E0%B8%9B%E0%B8%A3%E0%B8%B0%E0%B8%8A%E0%B8%B2%E0%B8%8A%E0%B8%99-%E0%B8%AD%E0%B8%B1%E0%B8%87%E0%B8%81%E0%B8%A4%E0%B8%A9.pdf?utm_source=openai" TargetMode="External"/><Relationship Id="rId15" Type="http://schemas.openxmlformats.org/officeDocument/2006/relationships/hyperlink" Target="https://thailand.go.th/issue-focus-detail/001-01-018?hl=cn&amp;utm_source=openai" TargetMode="External"/><Relationship Id="rId16" Type="http://schemas.openxmlformats.org/officeDocument/2006/relationships/hyperlink" Target="https://thethaiger.com/guides/visa-information/thailand-90-day-reporting" TargetMode="External"/><Relationship Id="rId17" Type="http://schemas.openxmlformats.org/officeDocument/2006/relationships/hyperlink" Target="https://www.thailand.go.th/issue-focus-detail/001-01-018?hl=cn" TargetMode="External"/><Relationship Id="rId18" Type="http://schemas.openxmlformats.org/officeDocument/2006/relationships/hyperlink" Target="https://thaiconsulatela.thaiembassy.org/en/publicservice/foreigners-staying-in-thailand-more-than-90-days?cate=61946819dd15fb11740c1f62" TargetMode="External"/><Relationship Id="rId19" Type="http://schemas.openxmlformats.org/officeDocument/2006/relationships/hyperlink" Target="https://www.thailawonline.com/90-day-report-thailand/" TargetMode="External"/><Relationship Id="rId20" Type="http://schemas.openxmlformats.org/officeDocument/2006/relationships/hyperlink" Target="https://thailandknowledge.com/visa/90-day-reporting-guide" TargetMode="External"/><Relationship Id="rId21" Type="http://schemas.openxmlformats.org/officeDocument/2006/relationships/hyperlink" Target="https://www.foreignersthailand.com/tasks/90-day-report" TargetMode="External"/><Relationship Id="rId22" Type="http://schemas.openxmlformats.org/officeDocument/2006/relationships/hyperlink" Target="https://thailandknowledge.com/visa/90-day-report-thailand/" TargetMode="External"/><Relationship Id="rId23"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